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26" w:rsidRPr="00C44926" w:rsidRDefault="00C44926" w:rsidP="00DB4A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26">
        <w:rPr>
          <w:rFonts w:ascii="Times New Roman" w:hAnsi="Times New Roman" w:cs="Times New Roman"/>
          <w:b/>
          <w:sz w:val="24"/>
          <w:szCs w:val="24"/>
        </w:rPr>
        <w:t>Gross State Domestic Product of Nagaland as on July 2021</w:t>
      </w:r>
    </w:p>
    <w:p w:rsidR="00A8631C" w:rsidRPr="00A8631C" w:rsidRDefault="00A8631C" w:rsidP="00A8631C">
      <w:pPr>
        <w:pStyle w:val="NoSpacing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72497" w:rsidRPr="00A8631C" w:rsidRDefault="00A8631C" w:rsidP="00AE2684">
      <w:pPr>
        <w:pStyle w:val="NoSpacing"/>
        <w:rPr>
          <w:b/>
        </w:rPr>
      </w:pPr>
      <w:r>
        <w:rPr>
          <w:b/>
        </w:rPr>
        <w:t>Table-1</w:t>
      </w:r>
      <w:r w:rsidR="00C72497" w:rsidRPr="00A8631C">
        <w:rPr>
          <w:b/>
        </w:rPr>
        <w:t>:</w:t>
      </w:r>
      <w:r w:rsidRPr="00A8631C">
        <w:rPr>
          <w:b/>
        </w:rPr>
        <w:t xml:space="preserve"> Gross State Domestic Product (GSDP)</w:t>
      </w:r>
      <w:r w:rsidR="005263C5">
        <w:rPr>
          <w:b/>
        </w:rPr>
        <w:t xml:space="preserve"> </w:t>
      </w:r>
      <w:r w:rsidR="00C44926">
        <w:rPr>
          <w:b/>
        </w:rPr>
        <w:t>a</w:t>
      </w:r>
      <w:r>
        <w:rPr>
          <w:b/>
        </w:rPr>
        <w:t>s on July 2021.</w:t>
      </w:r>
    </w:p>
    <w:tbl>
      <w:tblPr>
        <w:tblW w:w="10501" w:type="dxa"/>
        <w:tblInd w:w="93" w:type="dxa"/>
        <w:tblLook w:val="04A0"/>
      </w:tblPr>
      <w:tblGrid>
        <w:gridCol w:w="2279"/>
        <w:gridCol w:w="822"/>
        <w:gridCol w:w="822"/>
        <w:gridCol w:w="822"/>
        <w:gridCol w:w="822"/>
        <w:gridCol w:w="822"/>
        <w:gridCol w:w="823"/>
        <w:gridCol w:w="822"/>
        <w:gridCol w:w="822"/>
        <w:gridCol w:w="822"/>
        <w:gridCol w:w="823"/>
      </w:tblGrid>
      <w:tr w:rsidR="00C72497" w:rsidRPr="00C72497" w:rsidTr="00C72497">
        <w:trPr>
          <w:trHeight w:val="327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497" w:rsidRPr="00C72497" w:rsidRDefault="00A8631C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9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(Rs. In </w:t>
            </w:r>
            <w:proofErr w:type="spellStart"/>
            <w:r w:rsidRPr="00C72497">
              <w:rPr>
                <w:rFonts w:ascii="Calibri" w:eastAsia="Times New Roman" w:hAnsi="Calibri" w:cs="Calibri"/>
                <w:b/>
                <w:bCs/>
                <w:color w:val="000000"/>
              </w:rPr>
              <w:t>crore</w:t>
            </w:r>
            <w:proofErr w:type="spellEnd"/>
            <w:r w:rsidRPr="00C72497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C72497" w:rsidRPr="00C72497" w:rsidTr="00A8631C">
        <w:trPr>
          <w:trHeight w:val="65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2011-12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2016-17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2018-19 (P)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2019-20 (Q.E)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2020-21 A.E</w:t>
            </w:r>
          </w:p>
        </w:tc>
      </w:tr>
      <w:tr w:rsidR="00C72497" w:rsidRPr="00C72497" w:rsidTr="00A8631C">
        <w:trPr>
          <w:trHeight w:val="327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GSDP at current prices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29313</w:t>
            </w:r>
          </w:p>
        </w:tc>
      </w:tr>
      <w:tr w:rsidR="00C72497" w:rsidRPr="00C72497" w:rsidTr="00A8631C">
        <w:trPr>
          <w:trHeight w:val="327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497" w:rsidRPr="00C72497" w:rsidRDefault="00C72497" w:rsidP="00C72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GSDP at constant prices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97" w:rsidRPr="00C72497" w:rsidRDefault="00C72497" w:rsidP="00C7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17108</w:t>
            </w:r>
          </w:p>
        </w:tc>
      </w:tr>
    </w:tbl>
    <w:p w:rsidR="00A8631C" w:rsidRPr="00A8631C" w:rsidRDefault="00A8631C" w:rsidP="00AE2684">
      <w:pPr>
        <w:pStyle w:val="NoSpacing"/>
        <w:rPr>
          <w:i/>
        </w:rPr>
      </w:pPr>
      <w:r w:rsidRPr="00646A02">
        <w:rPr>
          <w:i/>
        </w:rPr>
        <w:t xml:space="preserve">P-Provisional, </w:t>
      </w:r>
      <w:proofErr w:type="spellStart"/>
      <w:r w:rsidRPr="00646A02">
        <w:rPr>
          <w:i/>
        </w:rPr>
        <w:t>Adv.E</w:t>
      </w:r>
      <w:proofErr w:type="spellEnd"/>
      <w:r w:rsidRPr="00646A02">
        <w:rPr>
          <w:i/>
        </w:rPr>
        <w:t>- Advance Estimates</w:t>
      </w:r>
    </w:p>
    <w:tbl>
      <w:tblPr>
        <w:tblW w:w="10392" w:type="dxa"/>
        <w:tblInd w:w="93" w:type="dxa"/>
        <w:tblLayout w:type="fixed"/>
        <w:tblLook w:val="04A0"/>
      </w:tblPr>
      <w:tblGrid>
        <w:gridCol w:w="386"/>
        <w:gridCol w:w="1312"/>
        <w:gridCol w:w="799"/>
        <w:gridCol w:w="876"/>
        <w:gridCol w:w="875"/>
        <w:gridCol w:w="1022"/>
        <w:gridCol w:w="799"/>
        <w:gridCol w:w="953"/>
        <w:gridCol w:w="876"/>
        <w:gridCol w:w="799"/>
        <w:gridCol w:w="806"/>
        <w:gridCol w:w="889"/>
      </w:tblGrid>
      <w:tr w:rsidR="00A8631C" w:rsidRPr="007D29A8" w:rsidTr="008139FC">
        <w:trPr>
          <w:trHeight w:val="1072"/>
        </w:trPr>
        <w:tc>
          <w:tcPr>
            <w:tcW w:w="7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31C" w:rsidRPr="00646A02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Table -2: Growth rate of GSDP (in percentage) as on July 2021.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1C" w:rsidRPr="007D29A8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1C" w:rsidRPr="00CF247F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1C" w:rsidRPr="007D29A8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31C" w:rsidRPr="0043125C" w:rsidTr="008139FC">
        <w:trPr>
          <w:trHeight w:val="92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2011-12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2012-13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2013-14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2014-15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2015-16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 xml:space="preserve">2016-17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2017-18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2018-19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2019-20 (P)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 xml:space="preserve">2020-21 </w:t>
            </w:r>
            <w:proofErr w:type="spellStart"/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Adv.E</w:t>
            </w:r>
            <w:proofErr w:type="spellEnd"/>
          </w:p>
        </w:tc>
      </w:tr>
      <w:tr w:rsidR="00A8631C" w:rsidRPr="0043125C" w:rsidTr="008139FC">
        <w:trPr>
          <w:trHeight w:val="62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G.R of GSDP at current prices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15.97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17.64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10.77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6.10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11.26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12.29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8.75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11.34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-0.76</w:t>
            </w:r>
          </w:p>
        </w:tc>
      </w:tr>
      <w:tr w:rsidR="00A8631C" w:rsidRPr="0043125C" w:rsidTr="008139FC">
        <w:trPr>
          <w:trHeight w:val="62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G.R of GSDP at constant prices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5.68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7.19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4.39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1.82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6.75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5.05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2.60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7.43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1C" w:rsidRPr="0043125C" w:rsidRDefault="00A8631C" w:rsidP="00813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25C">
              <w:rPr>
                <w:rFonts w:ascii="Times New Roman" w:eastAsia="Times New Roman" w:hAnsi="Times New Roman" w:cs="Times New Roman"/>
                <w:b/>
                <w:bCs/>
              </w:rPr>
              <w:t>-5.59</w:t>
            </w:r>
          </w:p>
        </w:tc>
      </w:tr>
    </w:tbl>
    <w:p w:rsidR="00A8631C" w:rsidRDefault="00A8631C" w:rsidP="00A8631C">
      <w:pPr>
        <w:pStyle w:val="NoSpacing"/>
        <w:rPr>
          <w:i/>
        </w:rPr>
      </w:pPr>
      <w:r w:rsidRPr="00646A02">
        <w:rPr>
          <w:i/>
        </w:rPr>
        <w:t xml:space="preserve">P-Provisional, </w:t>
      </w:r>
      <w:proofErr w:type="spellStart"/>
      <w:r w:rsidRPr="00646A02">
        <w:rPr>
          <w:i/>
        </w:rPr>
        <w:t>Adv.E</w:t>
      </w:r>
      <w:proofErr w:type="spellEnd"/>
      <w:r w:rsidRPr="00646A02">
        <w:rPr>
          <w:i/>
        </w:rPr>
        <w:t>- Advance Estimates</w:t>
      </w:r>
    </w:p>
    <w:p w:rsidR="00AB74E4" w:rsidRDefault="00AB74E4" w:rsidP="00A8631C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2EE4" w:rsidRDefault="00AB74E4" w:rsidP="00A8631C">
      <w:pPr>
        <w:pStyle w:val="NoSpacing"/>
        <w:rPr>
          <w:i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Trend of Growth of GSDP (in percentage) as on July 2021</w:t>
      </w:r>
    </w:p>
    <w:p w:rsidR="00AB74E4" w:rsidRPr="00AB74E4" w:rsidRDefault="00AC2EE4" w:rsidP="00AB74E4">
      <w:pPr>
        <w:pStyle w:val="NoSpacing"/>
        <w:rPr>
          <w:i/>
        </w:rPr>
      </w:pPr>
      <w:r w:rsidRPr="00AC2EE4">
        <w:rPr>
          <w:i/>
          <w:noProof/>
        </w:rPr>
        <w:drawing>
          <wp:inline distT="0" distB="0" distL="0" distR="0">
            <wp:extent cx="5638800" cy="27527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74E4" w:rsidRDefault="00AB74E4" w:rsidP="00AB74E4">
      <w:pPr>
        <w:pStyle w:val="NoSpacing"/>
        <w:rPr>
          <w:i/>
        </w:rPr>
      </w:pPr>
      <w:r w:rsidRPr="00646A02">
        <w:rPr>
          <w:i/>
        </w:rPr>
        <w:t xml:space="preserve">P-Provisional, </w:t>
      </w:r>
      <w:proofErr w:type="spellStart"/>
      <w:r w:rsidRPr="00646A02">
        <w:rPr>
          <w:i/>
        </w:rPr>
        <w:t>Adv.E</w:t>
      </w:r>
      <w:proofErr w:type="spellEnd"/>
      <w:r w:rsidRPr="00646A02">
        <w:rPr>
          <w:i/>
        </w:rPr>
        <w:t>- Advance Estimates</w:t>
      </w:r>
    </w:p>
    <w:p w:rsidR="00AC2EE4" w:rsidRPr="00A8631C" w:rsidRDefault="00AC2EE4" w:rsidP="00A8631C">
      <w:pPr>
        <w:pStyle w:val="NoSpacing"/>
        <w:rPr>
          <w:i/>
        </w:rPr>
      </w:pPr>
    </w:p>
    <w:p w:rsidR="00A8631C" w:rsidRDefault="00A8631C" w:rsidP="00AE2684">
      <w:pPr>
        <w:pStyle w:val="NoSpacing"/>
      </w:pPr>
    </w:p>
    <w:p w:rsidR="00C44926" w:rsidRPr="00C44926" w:rsidRDefault="00C44926" w:rsidP="00500A76">
      <w:pPr>
        <w:pStyle w:val="NoSpacing"/>
        <w:tabs>
          <w:tab w:val="left" w:pos="8505"/>
        </w:tabs>
        <w:jc w:val="right"/>
        <w:rPr>
          <w:b/>
        </w:rPr>
      </w:pPr>
      <w:r w:rsidRPr="00C44926">
        <w:rPr>
          <w:b/>
        </w:rPr>
        <w:t>Table-3: Per capita Income of the State as on July 2021</w:t>
      </w:r>
      <w:r w:rsidR="00500A76">
        <w:rPr>
          <w:b/>
        </w:rPr>
        <w:t xml:space="preserve">                                                                (Rs. In </w:t>
      </w:r>
      <w:proofErr w:type="spellStart"/>
      <w:r w:rsidR="00500A76">
        <w:rPr>
          <w:b/>
        </w:rPr>
        <w:t>lakhs</w:t>
      </w:r>
      <w:proofErr w:type="spellEnd"/>
      <w:r w:rsidR="00500A76">
        <w:rPr>
          <w:b/>
        </w:rPr>
        <w:t>)</w:t>
      </w:r>
    </w:p>
    <w:tbl>
      <w:tblPr>
        <w:tblW w:w="105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4926" w:rsidRPr="00C44926" w:rsidTr="00C44926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2011-12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2012-13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2013-14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2014-15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2015-16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 xml:space="preserve">2016-17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2017-18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2018-19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2019-20 (P)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 xml:space="preserve">2020-21 </w:t>
            </w:r>
            <w:proofErr w:type="spellStart"/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Adv.E</w:t>
            </w:r>
            <w:proofErr w:type="spellEnd"/>
          </w:p>
        </w:tc>
      </w:tr>
      <w:tr w:rsidR="00C44926" w:rsidRPr="00C44926" w:rsidTr="00C4492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26" w:rsidRPr="00C44926" w:rsidRDefault="00C44926" w:rsidP="00C4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Per Capita NSDP (Rs.)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53010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61225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71510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78367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82466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91347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102003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109198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120518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926" w:rsidRPr="00C44926" w:rsidRDefault="00C44926" w:rsidP="00C4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926">
              <w:rPr>
                <w:rFonts w:ascii="Times New Roman" w:eastAsia="Times New Roman" w:hAnsi="Times New Roman" w:cs="Times New Roman"/>
                <w:b/>
                <w:bCs/>
              </w:rPr>
              <w:t>118247</w:t>
            </w:r>
          </w:p>
        </w:tc>
      </w:tr>
    </w:tbl>
    <w:p w:rsidR="00C44926" w:rsidRDefault="00C44926" w:rsidP="00AE2684">
      <w:pPr>
        <w:pStyle w:val="NoSpacing"/>
        <w:rPr>
          <w:i/>
        </w:rPr>
      </w:pPr>
      <w:r w:rsidRPr="00646A02">
        <w:rPr>
          <w:i/>
        </w:rPr>
        <w:t xml:space="preserve">P-Provisional, </w:t>
      </w:r>
      <w:proofErr w:type="spellStart"/>
      <w:r w:rsidRPr="00646A02">
        <w:rPr>
          <w:i/>
        </w:rPr>
        <w:t>Adv.E</w:t>
      </w:r>
      <w:proofErr w:type="spellEnd"/>
      <w:r w:rsidRPr="00646A02">
        <w:rPr>
          <w:i/>
        </w:rPr>
        <w:t>- Advance Estimates</w:t>
      </w:r>
    </w:p>
    <w:p w:rsidR="00C44926" w:rsidRDefault="00C44926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Default="00BE179A" w:rsidP="00AE2684">
      <w:pPr>
        <w:pStyle w:val="NoSpacing"/>
      </w:pPr>
    </w:p>
    <w:p w:rsidR="00BE179A" w:rsidRPr="00AE2684" w:rsidRDefault="00BE179A" w:rsidP="00AE2684">
      <w:pPr>
        <w:pStyle w:val="NoSpacing"/>
      </w:pPr>
    </w:p>
    <w:sectPr w:rsidR="00BE179A" w:rsidRPr="00AE2684" w:rsidSect="0026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684"/>
    <w:rsid w:val="00096B69"/>
    <w:rsid w:val="00260636"/>
    <w:rsid w:val="00363880"/>
    <w:rsid w:val="0043125C"/>
    <w:rsid w:val="004313F2"/>
    <w:rsid w:val="00475E1C"/>
    <w:rsid w:val="00500A76"/>
    <w:rsid w:val="005263C5"/>
    <w:rsid w:val="00530816"/>
    <w:rsid w:val="00530D96"/>
    <w:rsid w:val="00556F18"/>
    <w:rsid w:val="0068554D"/>
    <w:rsid w:val="008A17D7"/>
    <w:rsid w:val="00A11167"/>
    <w:rsid w:val="00A8631C"/>
    <w:rsid w:val="00AB74E4"/>
    <w:rsid w:val="00AC2EE4"/>
    <w:rsid w:val="00AE2684"/>
    <w:rsid w:val="00BE179A"/>
    <w:rsid w:val="00C17737"/>
    <w:rsid w:val="00C44926"/>
    <w:rsid w:val="00C72497"/>
    <w:rsid w:val="00CF247F"/>
    <w:rsid w:val="00DB4A7C"/>
    <w:rsid w:val="00EE04A3"/>
    <w:rsid w:val="00F8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6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2684"/>
  </w:style>
  <w:style w:type="table" w:styleId="TableGrid">
    <w:name w:val="Table Grid"/>
    <w:basedOn w:val="TableNormal"/>
    <w:uiPriority w:val="59"/>
    <w:rsid w:val="00AE2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conomics%20Survey\Economic%20survey%202020-21\GSDP%20as%20on%20July%202021%20(Adv)%20-%20Cop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Sheet1!$P$5</c:f>
              <c:strCache>
                <c:ptCount val="1"/>
                <c:pt idx="0">
                  <c:v>G.R of GSDP at current prices</c:v>
                </c:pt>
              </c:strCache>
            </c:strRef>
          </c:tx>
          <c:dLbls>
            <c:dLbl>
              <c:idx val="1"/>
              <c:layout>
                <c:manualLayout>
                  <c:x val="-8.0555555555558434E-2"/>
                  <c:y val="-4.62962962962970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B4-44B2-936F-7F0560444635}"/>
                </c:ext>
              </c:extLst>
            </c:dLbl>
            <c:dLbl>
              <c:idx val="3"/>
              <c:layout>
                <c:manualLayout>
                  <c:x val="-3.0555555555555652E-2"/>
                  <c:y val="-3.24074074074082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B4-44B2-936F-7F0560444635}"/>
                </c:ext>
              </c:extLst>
            </c:dLbl>
            <c:dLbl>
              <c:idx val="4"/>
              <c:layout>
                <c:manualLayout>
                  <c:x val="-4.1666666666666692E-2"/>
                  <c:y val="-6.48148148148166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B4-44B2-936F-7F0560444635}"/>
                </c:ext>
              </c:extLst>
            </c:dLbl>
            <c:dLbl>
              <c:idx val="5"/>
              <c:layout>
                <c:manualLayout>
                  <c:x val="-7.7777777777777821E-2"/>
                  <c:y val="-5.09259259259268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B4-44B2-936F-7F0560444635}"/>
                </c:ext>
              </c:extLst>
            </c:dLbl>
            <c:dLbl>
              <c:idx val="6"/>
              <c:layout>
                <c:manualLayout>
                  <c:x val="-5.0000000000000114E-2"/>
                  <c:y val="-4.16666666666666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B4-44B2-936F-7F0560444635}"/>
                </c:ext>
              </c:extLst>
            </c:dLbl>
            <c:dLbl>
              <c:idx val="7"/>
              <c:layout>
                <c:manualLayout>
                  <c:x val="-5.8333333333334708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B4-44B2-936F-7F0560444635}"/>
                </c:ext>
              </c:extLst>
            </c:dLbl>
            <c:dLbl>
              <c:idx val="8"/>
              <c:layout>
                <c:manualLayout>
                  <c:x val="-4.1666666666666692E-2"/>
                  <c:y val="-4.16666666666666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B4-44B2-936F-7F0560444635}"/>
                </c:ext>
              </c:extLst>
            </c:dLbl>
            <c:dLbl>
              <c:idx val="9"/>
              <c:layout>
                <c:manualLayout>
                  <c:x val="0"/>
                  <c:y val="-8.123607190610523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B4-44B2-936F-7F05604446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Sheet1!$Q$4:$Z$4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 </c:v>
                </c:pt>
                <c:pt idx="6">
                  <c:v>2017-18</c:v>
                </c:pt>
                <c:pt idx="7">
                  <c:v>2018-19</c:v>
                </c:pt>
                <c:pt idx="8">
                  <c:v>2019-20 (P)</c:v>
                </c:pt>
                <c:pt idx="9">
                  <c:v>2020-21 Adv.E</c:v>
                </c:pt>
              </c:strCache>
            </c:strRef>
          </c:cat>
          <c:val>
            <c:numRef>
              <c:f>Sheet1!$Q$5:$Z$5</c:f>
              <c:numCache>
                <c:formatCode>0.00</c:formatCode>
                <c:ptCount val="10"/>
                <c:pt idx="1">
                  <c:v>15.968944119782376</c:v>
                </c:pt>
                <c:pt idx="2">
                  <c:v>17.63624492431979</c:v>
                </c:pt>
                <c:pt idx="3">
                  <c:v>10.769203911455264</c:v>
                </c:pt>
                <c:pt idx="4">
                  <c:v>6.1045059772278272</c:v>
                </c:pt>
                <c:pt idx="5">
                  <c:v>11.260585721939336</c:v>
                </c:pt>
                <c:pt idx="6">
                  <c:v>12.293779016639462</c:v>
                </c:pt>
                <c:pt idx="7">
                  <c:v>8.7503115653040879</c:v>
                </c:pt>
                <c:pt idx="8">
                  <c:v>11.341133061564236</c:v>
                </c:pt>
                <c:pt idx="9">
                  <c:v>-0.75535119429115161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B4-44B2-936F-7F0560444635}"/>
            </c:ext>
          </c:extLst>
        </c:ser>
        <c:ser>
          <c:idx val="1"/>
          <c:order val="1"/>
          <c:tx>
            <c:strRef>
              <c:f>Sheet1!$P$6</c:f>
              <c:strCache>
                <c:ptCount val="1"/>
                <c:pt idx="0">
                  <c:v>G.R of GSDP at constant prices</c:v>
                </c:pt>
              </c:strCache>
            </c:strRef>
          </c:tx>
          <c:dLbls>
            <c:dLbl>
              <c:idx val="1"/>
              <c:layout>
                <c:manualLayout>
                  <c:x val="-6.6666666666666693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B4-44B2-936F-7F0560444635}"/>
                </c:ext>
              </c:extLst>
            </c:dLbl>
            <c:dLbl>
              <c:idx val="2"/>
              <c:layout>
                <c:manualLayout>
                  <c:x val="-6.9444444444444933E-2"/>
                  <c:y val="-5.092592592592697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B4-44B2-936F-7F0560444635}"/>
                </c:ext>
              </c:extLst>
            </c:dLbl>
            <c:dLbl>
              <c:idx val="3"/>
              <c:layout>
                <c:manualLayout>
                  <c:x val="-4.1666666666666692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B4-44B2-936F-7F0560444635}"/>
                </c:ext>
              </c:extLst>
            </c:dLbl>
            <c:dLbl>
              <c:idx val="4"/>
              <c:layout>
                <c:manualLayout>
                  <c:x val="-8.3333333333333766E-3"/>
                  <c:y val="1.38888888888892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B4-44B2-936F-7F0560444635}"/>
                </c:ext>
              </c:extLst>
            </c:dLbl>
            <c:dLbl>
              <c:idx val="5"/>
              <c:layout>
                <c:manualLayout>
                  <c:x val="-4.1666666666666692E-2"/>
                  <c:y val="6.018482064741908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B4-44B2-936F-7F0560444635}"/>
                </c:ext>
              </c:extLst>
            </c:dLbl>
            <c:dLbl>
              <c:idx val="6"/>
              <c:layout>
                <c:manualLayout>
                  <c:x val="-5.5555555555555455E-2"/>
                  <c:y val="5.09259259259268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B4-44B2-936F-7F0560444635}"/>
                </c:ext>
              </c:extLst>
            </c:dLbl>
            <c:dLbl>
              <c:idx val="8"/>
              <c:layout>
                <c:manualLayout>
                  <c:x val="-9.1666666666668742E-2"/>
                  <c:y val="-4.62999416739573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B4-44B2-936F-7F0560444635}"/>
                </c:ext>
              </c:extLst>
            </c:dLbl>
            <c:dLbl>
              <c:idx val="9"/>
              <c:layout>
                <c:manualLayout>
                  <c:x val="0"/>
                  <c:y val="2.07022235428118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B4-44B2-936F-7F05604446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Sheet1!$Q$4:$Z$4</c:f>
              <c:strCache>
                <c:ptCount val="10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  <c:pt idx="5">
                  <c:v>2016-17 </c:v>
                </c:pt>
                <c:pt idx="6">
                  <c:v>2017-18</c:v>
                </c:pt>
                <c:pt idx="7">
                  <c:v>2018-19</c:v>
                </c:pt>
                <c:pt idx="8">
                  <c:v>2019-20 (P)</c:v>
                </c:pt>
                <c:pt idx="9">
                  <c:v>2020-21 Adv.E</c:v>
                </c:pt>
              </c:strCache>
            </c:strRef>
          </c:cat>
          <c:val>
            <c:numRef>
              <c:f>Sheet1!$Q$6:$Z$6</c:f>
              <c:numCache>
                <c:formatCode>0.00</c:formatCode>
                <c:ptCount val="10"/>
                <c:pt idx="1">
                  <c:v>5.6759855265036903</c:v>
                </c:pt>
                <c:pt idx="2">
                  <c:v>7.1860266135318334</c:v>
                </c:pt>
                <c:pt idx="3">
                  <c:v>4.3949717891794045</c:v>
                </c:pt>
                <c:pt idx="4">
                  <c:v>1.8176565204225881</c:v>
                </c:pt>
                <c:pt idx="5">
                  <c:v>6.7490286811892517</c:v>
                </c:pt>
                <c:pt idx="6">
                  <c:v>5.0473740440845773</c:v>
                </c:pt>
                <c:pt idx="7">
                  <c:v>2.6027033126255001</c:v>
                </c:pt>
                <c:pt idx="8">
                  <c:v>7.429164954816045</c:v>
                </c:pt>
                <c:pt idx="9">
                  <c:v>-5.5908556115500065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CB4-44B2-936F-7F0560444635}"/>
            </c:ext>
          </c:extLst>
        </c:ser>
        <c:marker val="1"/>
        <c:axId val="54199424"/>
        <c:axId val="54200960"/>
      </c:lineChart>
      <c:catAx>
        <c:axId val="541994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4200960"/>
        <c:crosses val="autoZero"/>
        <c:auto val="1"/>
        <c:lblAlgn val="ctr"/>
        <c:lblOffset val="100"/>
      </c:catAx>
      <c:valAx>
        <c:axId val="54200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en-IN"/>
                </a:pPr>
                <a:r>
                  <a:rPr lang="en-US"/>
                  <a:t>G.R</a:t>
                </a:r>
                <a:r>
                  <a:rPr lang="en-US" baseline="0"/>
                  <a:t> in percentage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4199424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15</cp:revision>
  <dcterms:created xsi:type="dcterms:W3CDTF">2021-10-21T07:13:00Z</dcterms:created>
  <dcterms:modified xsi:type="dcterms:W3CDTF">2021-10-26T08:44:00Z</dcterms:modified>
</cp:coreProperties>
</file>