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AF" w:rsidRPr="00666A73" w:rsidRDefault="00D305AF" w:rsidP="00B929D7">
      <w:pPr>
        <w:pStyle w:val="NoSpacing"/>
        <w:jc w:val="center"/>
        <w:rPr>
          <w:b/>
        </w:rPr>
      </w:pPr>
      <w:r w:rsidRPr="00666A73">
        <w:rPr>
          <w:b/>
        </w:rPr>
        <w:t>GOVERNMENT OF NAGALAND</w:t>
      </w:r>
    </w:p>
    <w:p w:rsidR="00D305AF" w:rsidRPr="00666A73" w:rsidRDefault="00D305AF" w:rsidP="00B929D7">
      <w:pPr>
        <w:pStyle w:val="NoSpacing"/>
        <w:jc w:val="center"/>
        <w:rPr>
          <w:b/>
        </w:rPr>
      </w:pPr>
      <w:r w:rsidRPr="00666A73">
        <w:rPr>
          <w:b/>
        </w:rPr>
        <w:t>DIRECTORATE OF ECONOMICS &amp; STATISTICS</w:t>
      </w:r>
    </w:p>
    <w:p w:rsidR="00D305AF" w:rsidRDefault="00D305AF" w:rsidP="00B929D7">
      <w:pPr>
        <w:pStyle w:val="NoSpacing"/>
        <w:jc w:val="center"/>
      </w:pPr>
      <w:r w:rsidRPr="00666A73">
        <w:rPr>
          <w:b/>
        </w:rPr>
        <w:t>NAGALAND: KOHIMA</w:t>
      </w:r>
    </w:p>
    <w:p w:rsidR="00D305AF" w:rsidRDefault="00D305AF" w:rsidP="009E330B">
      <w:pPr>
        <w:pStyle w:val="NoSpacing"/>
        <w:jc w:val="right"/>
      </w:pPr>
    </w:p>
    <w:p w:rsidR="00D305AF" w:rsidRDefault="00CA5F91" w:rsidP="009E330B">
      <w:pPr>
        <w:pStyle w:val="NoSpacing"/>
        <w:jc w:val="right"/>
      </w:pPr>
      <w:r>
        <w:t>Kohima, Dated the</w:t>
      </w:r>
      <w:r w:rsidR="00B96428">
        <w:t xml:space="preserve"> </w:t>
      </w:r>
      <w:r w:rsidR="007339B8">
        <w:t>28</w:t>
      </w:r>
      <w:r w:rsidR="003D4770" w:rsidRPr="003D4770">
        <w:rPr>
          <w:vertAlign w:val="superscript"/>
        </w:rPr>
        <w:t>th</w:t>
      </w:r>
      <w:r w:rsidR="003D4770">
        <w:t xml:space="preserve"> </w:t>
      </w:r>
      <w:r w:rsidR="007339B8">
        <w:t>June</w:t>
      </w:r>
      <w:r w:rsidR="00522924">
        <w:t xml:space="preserve"> </w:t>
      </w:r>
      <w:r w:rsidR="003D4770">
        <w:t>2022</w:t>
      </w:r>
      <w:r w:rsidR="00D305AF">
        <w:t>.</w:t>
      </w:r>
    </w:p>
    <w:p w:rsidR="00C321D3" w:rsidRPr="00FD21D5" w:rsidRDefault="00C321D3" w:rsidP="00FD21D5">
      <w:pPr>
        <w:pStyle w:val="NoSpacing"/>
        <w:jc w:val="center"/>
        <w:rPr>
          <w:b/>
        </w:rPr>
      </w:pPr>
    </w:p>
    <w:p w:rsidR="00D305AF" w:rsidRPr="004453EC" w:rsidRDefault="00D305AF" w:rsidP="005A2FC4">
      <w:pPr>
        <w:pStyle w:val="NoSpacing"/>
        <w:numPr>
          <w:ilvl w:val="0"/>
          <w:numId w:val="2"/>
        </w:numPr>
        <w:jc w:val="both"/>
        <w:rPr>
          <w:b/>
        </w:rPr>
      </w:pPr>
      <w:r w:rsidRPr="004453EC">
        <w:rPr>
          <w:b/>
        </w:rPr>
        <w:t>Index of Industrial Production</w:t>
      </w:r>
      <w:r w:rsidR="00C321D3">
        <w:rPr>
          <w:b/>
        </w:rPr>
        <w:t xml:space="preserve">, </w:t>
      </w:r>
      <w:r>
        <w:rPr>
          <w:b/>
        </w:rPr>
        <w:t>Nagaland (</w:t>
      </w:r>
      <w:r w:rsidR="00914151">
        <w:rPr>
          <w:b/>
        </w:rPr>
        <w:t xml:space="preserve"> </w:t>
      </w:r>
      <w:r w:rsidR="007339B8">
        <w:rPr>
          <w:b/>
        </w:rPr>
        <w:t>May</w:t>
      </w:r>
      <w:r w:rsidR="003D4770">
        <w:rPr>
          <w:b/>
        </w:rPr>
        <w:t xml:space="preserve"> 2022</w:t>
      </w:r>
      <w:r>
        <w:rPr>
          <w:b/>
        </w:rPr>
        <w:t>)</w:t>
      </w:r>
    </w:p>
    <w:p w:rsidR="00D305AF" w:rsidRPr="004453EC" w:rsidRDefault="002423D1" w:rsidP="005A2FC4">
      <w:pPr>
        <w:pStyle w:val="NoSpacing"/>
        <w:jc w:val="both"/>
        <w:rPr>
          <w:b/>
        </w:rPr>
      </w:pPr>
      <w:r>
        <w:rPr>
          <w:b/>
        </w:rPr>
        <w:tab/>
      </w:r>
      <w:r w:rsidR="00D305AF" w:rsidRPr="004453EC">
        <w:rPr>
          <w:b/>
        </w:rPr>
        <w:t>(Base 2011-12=100)</w:t>
      </w:r>
    </w:p>
    <w:p w:rsidR="00D305AF" w:rsidRPr="004453EC" w:rsidRDefault="00D305AF" w:rsidP="005A2FC4">
      <w:pPr>
        <w:pStyle w:val="NoSpacing"/>
        <w:jc w:val="both"/>
        <w:rPr>
          <w:b/>
        </w:rPr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Index of Industrial </w:t>
      </w:r>
      <w:r w:rsidR="00C321D3">
        <w:t>Production</w:t>
      </w:r>
      <w:r>
        <w:t xml:space="preserve"> (IIP) with base 2011-12 for the State of Nagaland is compiled and estimated by Directorate of Economics and Statistics</w:t>
      </w:r>
      <w:r w:rsidR="00CA5F91">
        <w:t xml:space="preserve"> (DES),</w:t>
      </w:r>
      <w:r>
        <w:t xml:space="preserve"> Nagaland</w:t>
      </w:r>
      <w:r w:rsidR="00CA5F91">
        <w:t>,</w:t>
      </w:r>
      <w:r>
        <w:t xml:space="preserve"> Kohima. </w:t>
      </w:r>
      <w:r w:rsidRPr="00FC3386">
        <w:t xml:space="preserve">Following </w:t>
      </w:r>
      <w:r>
        <w:t>a time lag of 4</w:t>
      </w:r>
      <w:r w:rsidRPr="00FC3386">
        <w:t xml:space="preserve"> week</w:t>
      </w:r>
      <w:r>
        <w:t>, DES release State IIP on the 28</w:t>
      </w:r>
      <w:r w:rsidRPr="00E4167B">
        <w:rPr>
          <w:vertAlign w:val="superscript"/>
        </w:rPr>
        <w:t>th</w:t>
      </w:r>
      <w:r>
        <w:t xml:space="preserve"> day of every month or the previous working day if the 28</w:t>
      </w:r>
      <w:r w:rsidRPr="00E4167B">
        <w:rPr>
          <w:vertAlign w:val="superscript"/>
        </w:rPr>
        <w:t>th</w:t>
      </w:r>
      <w:r>
        <w:t xml:space="preserve"> day is a non working day. </w:t>
      </w:r>
    </w:p>
    <w:p w:rsidR="00D305AF" w:rsidRDefault="00D305AF" w:rsidP="005A2FC4">
      <w:pPr>
        <w:pStyle w:val="NoSpacing"/>
        <w:ind w:left="360"/>
        <w:jc w:val="both"/>
      </w:pPr>
    </w:p>
    <w:p w:rsidR="00D305AF" w:rsidRDefault="00CA5F91" w:rsidP="005A2FC4">
      <w:pPr>
        <w:pStyle w:val="NoSpacing"/>
        <w:numPr>
          <w:ilvl w:val="1"/>
          <w:numId w:val="1"/>
        </w:numPr>
        <w:ind w:hanging="720"/>
        <w:jc w:val="both"/>
      </w:pPr>
      <w:r>
        <w:t>The</w:t>
      </w:r>
      <w:r w:rsidR="00D305AF">
        <w:t xml:space="preserve"> manufacturing data</w:t>
      </w:r>
      <w:r>
        <w:t xml:space="preserve"> are</w:t>
      </w:r>
      <w:r w:rsidR="00D305AF">
        <w:t xml:space="preserve"> directly</w:t>
      </w:r>
      <w:r>
        <w:t xml:space="preserve"> collected</w:t>
      </w:r>
      <w:r w:rsidR="00D305AF">
        <w:t xml:space="preserve"> from the producing factories. </w:t>
      </w:r>
      <w:r>
        <w:t xml:space="preserve">All together there are </w:t>
      </w:r>
      <w:r w:rsidR="00D305AF">
        <w:t>nine items for construction of manufacturing index.</w:t>
      </w:r>
    </w:p>
    <w:p w:rsidR="00D305AF" w:rsidRDefault="00D305AF" w:rsidP="005A2FC4">
      <w:pPr>
        <w:pStyle w:val="NoSpacing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Electricity data are gathered from the national power portal.</w:t>
      </w:r>
    </w:p>
    <w:p w:rsidR="00D305AF" w:rsidRDefault="00D305AF" w:rsidP="005A2FC4">
      <w:pPr>
        <w:pStyle w:val="NoSpacing"/>
        <w:ind w:left="720"/>
        <w:jc w:val="both"/>
      </w:pPr>
    </w:p>
    <w:p w:rsidR="00DA4170" w:rsidRDefault="00D305AF" w:rsidP="00DA4170">
      <w:pPr>
        <w:pStyle w:val="NoSpacing"/>
        <w:numPr>
          <w:ilvl w:val="1"/>
          <w:numId w:val="1"/>
        </w:numPr>
        <w:ind w:hanging="720"/>
        <w:jc w:val="both"/>
      </w:pPr>
      <w:r>
        <w:t xml:space="preserve">Mining data are obtained from Directorate of Geology and Mining. </w:t>
      </w:r>
      <w:r w:rsidR="00CA5F91">
        <w:t xml:space="preserve">Coal is the only item </w:t>
      </w:r>
      <w:r>
        <w:t xml:space="preserve">for construction of Mining Index. </w:t>
      </w:r>
    </w:p>
    <w:p w:rsidR="00DA4170" w:rsidRDefault="00DA4170" w:rsidP="00DA4170">
      <w:pPr>
        <w:pStyle w:val="NoSpacing"/>
        <w:ind w:left="720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The construction of  IIP is done in a step by step manner with the used of</w:t>
      </w:r>
      <w:r w:rsidR="0083217C">
        <w:t xml:space="preserve"> previous level of indices as indicated below;</w:t>
      </w:r>
    </w:p>
    <w:p w:rsidR="00D305AF" w:rsidRDefault="00D305AF" w:rsidP="005A2FC4">
      <w:pPr>
        <w:pStyle w:val="NoSpacing"/>
        <w:numPr>
          <w:ilvl w:val="0"/>
          <w:numId w:val="3"/>
        </w:numPr>
        <w:jc w:val="both"/>
      </w:pPr>
      <w:r>
        <w:t>The Item level indices are obtained by multiplying the production relative with 100.</w:t>
      </w:r>
    </w:p>
    <w:p w:rsidR="00D305AF" w:rsidRDefault="00D305AF" w:rsidP="005A2FC4">
      <w:pPr>
        <w:pStyle w:val="NoSpacing"/>
        <w:numPr>
          <w:ilvl w:val="0"/>
          <w:numId w:val="3"/>
        </w:numPr>
        <w:jc w:val="both"/>
      </w:pPr>
      <w:r>
        <w:t>The subsequent level of indices till general IIP is obtained by the weighted Arithmetic mean of the previous level of indices.</w:t>
      </w:r>
    </w:p>
    <w:p w:rsidR="00D305AF" w:rsidRPr="0045103D" w:rsidRDefault="00D305AF" w:rsidP="005A2FC4">
      <w:pPr>
        <w:pStyle w:val="BodyText"/>
        <w:jc w:val="both"/>
        <w:rPr>
          <w:szCs w:val="24"/>
        </w:rPr>
      </w:pPr>
    </w:p>
    <w:p w:rsidR="00D305AF" w:rsidRPr="00B30747" w:rsidRDefault="00D305AF" w:rsidP="005A2FC4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453EC">
        <w:rPr>
          <w:b/>
        </w:rPr>
        <w:t xml:space="preserve">Quick Estimate of Index of Industrial </w:t>
      </w:r>
      <w:r>
        <w:rPr>
          <w:b/>
        </w:rPr>
        <w:t>Pro</w:t>
      </w:r>
      <w:r w:rsidR="002423D1">
        <w:rPr>
          <w:b/>
        </w:rPr>
        <w:t>duction for the Month of</w:t>
      </w:r>
      <w:r w:rsidR="00A028CB">
        <w:rPr>
          <w:b/>
        </w:rPr>
        <w:t xml:space="preserve"> </w:t>
      </w:r>
      <w:r w:rsidR="007339B8">
        <w:rPr>
          <w:b/>
        </w:rPr>
        <w:t>May</w:t>
      </w:r>
      <w:r w:rsidR="007B055B">
        <w:rPr>
          <w:b/>
        </w:rPr>
        <w:t>, 2022</w:t>
      </w:r>
      <w:r w:rsidRPr="004453EC">
        <w:rPr>
          <w:b/>
        </w:rPr>
        <w:t>.</w:t>
      </w:r>
      <w:r w:rsidR="00B30747">
        <w:rPr>
          <w:b/>
        </w:rPr>
        <w:t xml:space="preserve"> </w:t>
      </w:r>
      <w:r w:rsidRPr="00B30747">
        <w:rPr>
          <w:b/>
        </w:rPr>
        <w:t>(Base 2011-12=100)</w:t>
      </w:r>
    </w:p>
    <w:p w:rsidR="00B30747" w:rsidRDefault="00B30747" w:rsidP="005A2FC4">
      <w:pPr>
        <w:pStyle w:val="NoSpacing"/>
        <w:ind w:firstLine="720"/>
        <w:jc w:val="both"/>
        <w:rPr>
          <w:b/>
        </w:rPr>
      </w:pPr>
    </w:p>
    <w:p w:rsidR="00B30747" w:rsidRPr="004453EC" w:rsidRDefault="00B30747" w:rsidP="005A2FC4">
      <w:pPr>
        <w:pStyle w:val="NoSpacing"/>
        <w:ind w:firstLine="720"/>
        <w:jc w:val="both"/>
        <w:rPr>
          <w:b/>
        </w:rPr>
      </w:pPr>
      <w:r>
        <w:rPr>
          <w:b/>
        </w:rPr>
        <w:t>Current Month Index</w:t>
      </w:r>
    </w:p>
    <w:p w:rsidR="00B30747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The quick estimate of Index of Industrial Production (IIP) with base 2011-</w:t>
      </w:r>
      <w:r w:rsidR="002423D1">
        <w:t xml:space="preserve">12 for the month of </w:t>
      </w:r>
      <w:r w:rsidR="007339B8">
        <w:t>May</w:t>
      </w:r>
      <w:r w:rsidR="007B055B">
        <w:t xml:space="preserve"> 2022</w:t>
      </w:r>
      <w:r>
        <w:t xml:space="preserve"> is estimated</w:t>
      </w:r>
      <w:r w:rsidR="00FF29F2">
        <w:t xml:space="preserve"> and release</w:t>
      </w:r>
      <w:r w:rsidR="00912E2D">
        <w:t>d</w:t>
      </w:r>
      <w:r w:rsidR="00FF29F2">
        <w:t xml:space="preserve"> </w:t>
      </w:r>
      <w:r w:rsidR="005800A6">
        <w:t xml:space="preserve">on </w:t>
      </w:r>
      <w:r w:rsidR="007339B8">
        <w:t>28</w:t>
      </w:r>
      <w:r w:rsidR="007B055B" w:rsidRPr="007B055B">
        <w:rPr>
          <w:vertAlign w:val="superscript"/>
        </w:rPr>
        <w:t>th</w:t>
      </w:r>
      <w:r w:rsidR="007B055B">
        <w:t xml:space="preserve"> </w:t>
      </w:r>
      <w:r w:rsidR="007339B8">
        <w:t>June</w:t>
      </w:r>
      <w:r w:rsidR="00A028CB">
        <w:t xml:space="preserve"> </w:t>
      </w:r>
      <w:r w:rsidR="007B055B">
        <w:t>2022.</w:t>
      </w:r>
      <w:r w:rsidR="005800A6">
        <w:t xml:space="preserve"> </w:t>
      </w:r>
    </w:p>
    <w:p w:rsidR="007B055B" w:rsidRDefault="007B055B" w:rsidP="007B055B">
      <w:pPr>
        <w:pStyle w:val="NoSpacing"/>
        <w:ind w:left="720"/>
        <w:jc w:val="both"/>
      </w:pPr>
    </w:p>
    <w:p w:rsidR="00B30747" w:rsidRDefault="00B30747" w:rsidP="005A2FC4">
      <w:pPr>
        <w:pStyle w:val="NoSpacing"/>
        <w:numPr>
          <w:ilvl w:val="1"/>
          <w:numId w:val="1"/>
        </w:numPr>
        <w:ind w:hanging="720"/>
        <w:jc w:val="both"/>
      </w:pPr>
      <w:r>
        <w:t>The general Index</w:t>
      </w:r>
      <w:r w:rsidR="002423D1">
        <w:t xml:space="preserve"> of IIP for the month of </w:t>
      </w:r>
      <w:r w:rsidR="007339B8">
        <w:t>May</w:t>
      </w:r>
      <w:r w:rsidR="007B055B">
        <w:t xml:space="preserve"> 2022</w:t>
      </w:r>
      <w:r w:rsidR="005800A6">
        <w:t xml:space="preserve"> </w:t>
      </w:r>
      <w:r>
        <w:t>(Quick Estimates) is est</w:t>
      </w:r>
      <w:r w:rsidR="002423D1">
        <w:t xml:space="preserve">imated to have </w:t>
      </w:r>
      <w:r w:rsidR="00A66483">
        <w:t>risen</w:t>
      </w:r>
      <w:r w:rsidR="002423D1">
        <w:t xml:space="preserve"> from</w:t>
      </w:r>
      <w:r w:rsidR="007B055B">
        <w:t xml:space="preserve"> </w:t>
      </w:r>
      <w:r w:rsidR="00A66483">
        <w:t>100.92</w:t>
      </w:r>
      <w:r w:rsidR="00235C1F">
        <w:t xml:space="preserve"> in April</w:t>
      </w:r>
      <w:r w:rsidR="00A66483">
        <w:t xml:space="preserve"> to 145.29 in May</w:t>
      </w:r>
      <w:r>
        <w:t>.</w:t>
      </w:r>
      <w:r w:rsidR="00762F60">
        <w:t xml:space="preserve"> The </w:t>
      </w:r>
      <w:r w:rsidR="00A66483">
        <w:t>rise</w:t>
      </w:r>
      <w:r w:rsidR="00762F60">
        <w:t xml:space="preserve"> in the general Index of IIP was due to the </w:t>
      </w:r>
      <w:r w:rsidR="00A66483">
        <w:t>rise</w:t>
      </w:r>
      <w:r w:rsidR="00762F60">
        <w:t xml:space="preserve"> in the growth of</w:t>
      </w:r>
      <w:r w:rsidR="00A028CB">
        <w:t xml:space="preserve"> Index of</w:t>
      </w:r>
      <w:r w:rsidR="004C04B2">
        <w:t xml:space="preserve"> Electricity and Manufacturing</w:t>
      </w:r>
      <w:r w:rsidR="00762F60">
        <w:t>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2423D1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the month of </w:t>
      </w:r>
      <w:r w:rsidR="00A66483">
        <w:t>May</w:t>
      </w:r>
      <w:r w:rsidR="00AE5F4B">
        <w:t xml:space="preserve"> 2022</w:t>
      </w:r>
      <w:r w:rsidR="00762F60">
        <w:t>, the M</w:t>
      </w:r>
      <w:r w:rsidR="00D305AF">
        <w:t xml:space="preserve">anufacturing sector index is estimated to </w:t>
      </w:r>
      <w:r w:rsidR="002F6BA8">
        <w:t xml:space="preserve">have </w:t>
      </w:r>
      <w:r w:rsidR="007B7EDA">
        <w:t>raise</w:t>
      </w:r>
      <w:r>
        <w:t xml:space="preserve"> </w:t>
      </w:r>
      <w:r w:rsidR="00961194">
        <w:t>from</w:t>
      </w:r>
      <w:r w:rsidR="002F6BA8">
        <w:t xml:space="preserve"> </w:t>
      </w:r>
      <w:r w:rsidR="007B7EDA">
        <w:t>277.21</w:t>
      </w:r>
      <w:r w:rsidR="002F6BA8">
        <w:t xml:space="preserve"> in </w:t>
      </w:r>
      <w:r w:rsidR="007B7EDA">
        <w:t>April</w:t>
      </w:r>
      <w:r w:rsidR="00235C1F">
        <w:t xml:space="preserve"> to </w:t>
      </w:r>
      <w:r w:rsidR="007B7EDA">
        <w:t>307.96</w:t>
      </w:r>
      <w:r w:rsidR="00235C1F">
        <w:t xml:space="preserve"> in </w:t>
      </w:r>
      <w:r w:rsidR="007B7EDA">
        <w:t>May</w:t>
      </w:r>
      <w:r w:rsidR="00D305AF">
        <w:t>.  The</w:t>
      </w:r>
      <w:r w:rsidR="00961194">
        <w:t xml:space="preserve"> </w:t>
      </w:r>
      <w:r w:rsidR="007B7EDA">
        <w:t>rise</w:t>
      </w:r>
      <w:r w:rsidR="008B58EB">
        <w:t xml:space="preserve"> in the index of</w:t>
      </w:r>
      <w:r w:rsidR="00D305AF">
        <w:t xml:space="preserve"> manufacturing has</w:t>
      </w:r>
      <w:r w:rsidR="00235C1F">
        <w:t xml:space="preserve"> </w:t>
      </w:r>
      <w:r w:rsidR="007B7EDA">
        <w:t xml:space="preserve">come mainly from the increase </w:t>
      </w:r>
      <w:r w:rsidR="004C03EA">
        <w:t xml:space="preserve">in the </w:t>
      </w:r>
      <w:r w:rsidR="007B7EDA">
        <w:t>production of Rice raw and Plywood</w:t>
      </w:r>
      <w:r w:rsidR="00AE5F4B">
        <w:t>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8A1C37" w:rsidP="008A1C37">
      <w:pPr>
        <w:pStyle w:val="NoSpacing"/>
        <w:numPr>
          <w:ilvl w:val="1"/>
          <w:numId w:val="1"/>
        </w:numPr>
        <w:ind w:hanging="720"/>
        <w:jc w:val="both"/>
      </w:pPr>
      <w:r>
        <w:t>With the onset of monsoon, the monthly generation of</w:t>
      </w:r>
      <w:r w:rsidRPr="008A1C37">
        <w:t xml:space="preserve"> </w:t>
      </w:r>
      <w:r>
        <w:t xml:space="preserve">electricity as reported by National Power Portal show that, the generation of electricity has increased from 2.04 MW in April 2022 to 13.77 MW in May 2022. </w:t>
      </w:r>
      <w:r w:rsidR="00D305AF">
        <w:t>Consequently, Electricity sector</w:t>
      </w:r>
      <w:r w:rsidR="0087077F">
        <w:t xml:space="preserve"> index is estimated to have</w:t>
      </w:r>
      <w:r w:rsidR="003F1352">
        <w:t xml:space="preserve"> </w:t>
      </w:r>
      <w:r>
        <w:t>increase</w:t>
      </w:r>
      <w:r w:rsidR="003941DC">
        <w:t xml:space="preserve"> from</w:t>
      </w:r>
      <w:r w:rsidR="00AE5F4B">
        <w:t xml:space="preserve"> </w:t>
      </w:r>
      <w:r>
        <w:t>10.70</w:t>
      </w:r>
      <w:r w:rsidR="008B58EB">
        <w:t xml:space="preserve"> in </w:t>
      </w:r>
      <w:r>
        <w:t>April</w:t>
      </w:r>
      <w:r w:rsidR="008B58EB">
        <w:t xml:space="preserve"> 2022</w:t>
      </w:r>
      <w:r w:rsidR="00235C1F">
        <w:t xml:space="preserve"> to</w:t>
      </w:r>
      <w:r>
        <w:t>72.21</w:t>
      </w:r>
      <w:r w:rsidR="00235C1F">
        <w:t xml:space="preserve">in </w:t>
      </w:r>
      <w:r>
        <w:t>May 2022</w:t>
      </w:r>
      <w:r w:rsidR="0087077F">
        <w:t>.</w:t>
      </w:r>
    </w:p>
    <w:p w:rsidR="00D305AF" w:rsidRDefault="00D305AF" w:rsidP="005A2FC4">
      <w:pPr>
        <w:pStyle w:val="NoSpacing"/>
        <w:ind w:left="720"/>
        <w:jc w:val="both"/>
      </w:pPr>
    </w:p>
    <w:p w:rsidR="0087077F" w:rsidRDefault="00CA5F91" w:rsidP="005A2FC4">
      <w:pPr>
        <w:pStyle w:val="NoSpacing"/>
        <w:numPr>
          <w:ilvl w:val="1"/>
          <w:numId w:val="1"/>
        </w:numPr>
        <w:ind w:hanging="720"/>
        <w:jc w:val="both"/>
      </w:pPr>
      <w:r>
        <w:lastRenderedPageBreak/>
        <w:t>In the Mining sector,</w:t>
      </w:r>
      <w:r w:rsidR="00D305AF">
        <w:t xml:space="preserve"> </w:t>
      </w:r>
      <w:r w:rsidR="004829E7">
        <w:t>during</w:t>
      </w:r>
      <w:r w:rsidR="003941DC">
        <w:t xml:space="preserve"> the month of </w:t>
      </w:r>
      <w:r w:rsidR="008A1C37">
        <w:t>May</w:t>
      </w:r>
      <w:r w:rsidR="00AE5F4B">
        <w:t xml:space="preserve"> 2022</w:t>
      </w:r>
      <w:r w:rsidR="008A1C37">
        <w:t xml:space="preserve"> there was a decline in the production of Coal</w:t>
      </w:r>
      <w:r w:rsidR="00594774">
        <w:t>. As a result,</w:t>
      </w:r>
      <w:r w:rsidR="0087077F">
        <w:t xml:space="preserve"> the Index o</w:t>
      </w:r>
      <w:r w:rsidR="00CF3507">
        <w:t>f Mining is estimated</w:t>
      </w:r>
      <w:r w:rsidR="00594774">
        <w:t xml:space="preserve"> to have fallen from 796.62 in April 2022 to</w:t>
      </w:r>
      <w:r w:rsidR="00CF3507">
        <w:t xml:space="preserve"> </w:t>
      </w:r>
      <w:r w:rsidR="008A1C37">
        <w:t xml:space="preserve">609.53 </w:t>
      </w:r>
      <w:r w:rsidR="00594774">
        <w:t>in May</w:t>
      </w:r>
      <w:r w:rsidR="00E20375">
        <w:t xml:space="preserve"> 2022</w:t>
      </w:r>
      <w:r w:rsidR="009A6614">
        <w:t>.</w:t>
      </w:r>
    </w:p>
    <w:p w:rsidR="00B30747" w:rsidRDefault="00B30747" w:rsidP="005A2FC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77F" w:rsidRPr="00B30747" w:rsidRDefault="00B30747" w:rsidP="005A2FC4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Growth o</w:t>
      </w:r>
      <w:r w:rsidRPr="00B30747">
        <w:rPr>
          <w:rFonts w:ascii="Times New Roman" w:hAnsi="Times New Roman" w:cs="Times New Roman"/>
          <w:b/>
          <w:sz w:val="24"/>
          <w:szCs w:val="24"/>
        </w:rPr>
        <w:t>f IIP over the Corre</w:t>
      </w:r>
      <w:r>
        <w:rPr>
          <w:rFonts w:ascii="Times New Roman" w:hAnsi="Times New Roman" w:cs="Times New Roman"/>
          <w:b/>
          <w:sz w:val="24"/>
          <w:szCs w:val="24"/>
        </w:rPr>
        <w:t>sponding month of the Previous Y</w:t>
      </w:r>
      <w:r w:rsidRPr="00B30747">
        <w:rPr>
          <w:rFonts w:ascii="Times New Roman" w:hAnsi="Times New Roman" w:cs="Times New Roman"/>
          <w:b/>
          <w:sz w:val="24"/>
          <w:szCs w:val="24"/>
        </w:rPr>
        <w:t>ear</w:t>
      </w:r>
      <w:r w:rsidR="003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general Index of IIP for the month of </w:t>
      </w:r>
      <w:r w:rsidR="00FC3B8B">
        <w:t xml:space="preserve">May </w:t>
      </w:r>
      <w:r w:rsidR="00AE5F4B">
        <w:t xml:space="preserve">2022 </w:t>
      </w:r>
      <w:r>
        <w:t xml:space="preserve">(Quick Estimates) </w:t>
      </w:r>
      <w:r w:rsidR="00AE5F4B">
        <w:t>was estimated</w:t>
      </w:r>
      <w:r>
        <w:t xml:space="preserve"> at </w:t>
      </w:r>
      <w:r w:rsidR="00FC3B8B">
        <w:t>145.29</w:t>
      </w:r>
      <w:r w:rsidR="005F49AA">
        <w:t>.</w:t>
      </w:r>
      <w:r w:rsidR="003941DC">
        <w:t xml:space="preserve"> </w:t>
      </w:r>
      <w:r w:rsidR="00433F95">
        <w:t>T</w:t>
      </w:r>
      <w:r w:rsidR="005F49AA">
        <w:t xml:space="preserve">he general </w:t>
      </w:r>
      <w:r w:rsidR="004163F0">
        <w:t>index of IIP registers</w:t>
      </w:r>
      <w:r w:rsidR="005F49AA">
        <w:t xml:space="preserve"> a growth of </w:t>
      </w:r>
      <w:r w:rsidR="00FC3B8B">
        <w:t>42.47</w:t>
      </w:r>
      <w:r w:rsidR="005F49AA">
        <w:t xml:space="preserve"> percent</w:t>
      </w:r>
      <w:r w:rsidR="00433F95">
        <w:t xml:space="preserve"> over the corresponding month of the previous year index as shown in </w:t>
      </w:r>
      <w:r w:rsidRPr="0087077F">
        <w:rPr>
          <w:b/>
        </w:rPr>
        <w:t>Table-4</w:t>
      </w:r>
      <w:r w:rsidR="00433F95">
        <w:rPr>
          <w:b/>
        </w:rPr>
        <w:t>.</w:t>
      </w:r>
    </w:p>
    <w:p w:rsidR="00022E2F" w:rsidRDefault="00022E2F" w:rsidP="005A2FC4">
      <w:pPr>
        <w:pStyle w:val="NoSpacing"/>
        <w:ind w:left="720"/>
        <w:jc w:val="both"/>
      </w:pP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indices of Industrial Production for Manufacturing, Electricity and Mining sectors for the month of </w:t>
      </w:r>
      <w:r w:rsidR="00FC3B8B">
        <w:t>May</w:t>
      </w:r>
      <w:r w:rsidR="009C0869">
        <w:t xml:space="preserve"> 2022</w:t>
      </w:r>
      <w:r>
        <w:t xml:space="preserve"> </w:t>
      </w:r>
      <w:r w:rsidR="005F49AA">
        <w:t>was estimated</w:t>
      </w:r>
      <w:r>
        <w:t xml:space="preserve"> at</w:t>
      </w:r>
      <w:r w:rsidR="00B64DC6">
        <w:t xml:space="preserve"> </w:t>
      </w:r>
      <w:r w:rsidR="00FC3B8B">
        <w:t>307.96</w:t>
      </w:r>
      <w:r w:rsidR="00B64DC6">
        <w:t xml:space="preserve">, </w:t>
      </w:r>
      <w:r w:rsidR="00FC3B8B">
        <w:t>72.21</w:t>
      </w:r>
      <w:r w:rsidR="009C0869">
        <w:t xml:space="preserve"> </w:t>
      </w:r>
      <w:r>
        <w:t>and</w:t>
      </w:r>
      <w:r w:rsidR="00B64DC6">
        <w:t xml:space="preserve"> </w:t>
      </w:r>
      <w:r w:rsidR="00FC3B8B">
        <w:t>609.53</w:t>
      </w:r>
      <w:r w:rsidR="009C0869">
        <w:t xml:space="preserve"> </w:t>
      </w:r>
      <w:r>
        <w:t xml:space="preserve">respectively and the corresponding growth over </w:t>
      </w:r>
      <w:r w:rsidR="00FC3B8B">
        <w:t>May</w:t>
      </w:r>
      <w:r w:rsidR="005F058E">
        <w:t xml:space="preserve"> 2021</w:t>
      </w:r>
      <w:r>
        <w:t xml:space="preserve"> </w:t>
      </w:r>
      <w:r w:rsidR="009C0869">
        <w:t xml:space="preserve">were estimated </w:t>
      </w:r>
      <w:r>
        <w:t>at</w:t>
      </w:r>
      <w:r w:rsidR="003B5A24">
        <w:t xml:space="preserve"> </w:t>
      </w:r>
      <w:r w:rsidR="00FC3B8B">
        <w:t>-1.6</w:t>
      </w:r>
      <w:r w:rsidR="00B64DC6">
        <w:t xml:space="preserve"> </w:t>
      </w:r>
      <w:r w:rsidR="003B5A24">
        <w:t>percent</w:t>
      </w:r>
      <w:r>
        <w:t xml:space="preserve">, </w:t>
      </w:r>
      <w:r w:rsidR="00FC3B8B">
        <w:t>371.58</w:t>
      </w:r>
      <w:r w:rsidR="009C0869">
        <w:t xml:space="preserve"> </w:t>
      </w:r>
      <w:r w:rsidR="003B5A24">
        <w:t>percent</w:t>
      </w:r>
      <w:r w:rsidR="0027365D">
        <w:t xml:space="preserve"> </w:t>
      </w:r>
      <w:r>
        <w:t>and</w:t>
      </w:r>
      <w:r w:rsidR="0027365D">
        <w:t xml:space="preserve"> </w:t>
      </w:r>
      <w:r w:rsidR="00FC3B8B">
        <w:t>8.54</w:t>
      </w:r>
      <w:r w:rsidR="009C0869">
        <w:t xml:space="preserve"> </w:t>
      </w:r>
      <w:r w:rsidR="003B5A24">
        <w:t>percent</w:t>
      </w:r>
      <w:r w:rsidR="00433F95">
        <w:t xml:space="preserve"> as reflected in </w:t>
      </w:r>
      <w:r w:rsidR="00433F95">
        <w:rPr>
          <w:b/>
        </w:rPr>
        <w:t>Table-1,2 and 3</w:t>
      </w:r>
      <w:r>
        <w:rPr>
          <w:b/>
        </w:rPr>
        <w:t>.</w:t>
      </w:r>
    </w:p>
    <w:p w:rsidR="00022E2F" w:rsidRDefault="00022E2F" w:rsidP="005A2FC4">
      <w:pPr>
        <w:pStyle w:val="NoSpacing"/>
        <w:ind w:left="720"/>
        <w:jc w:val="both"/>
      </w:pP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During the month</w:t>
      </w:r>
      <w:r w:rsidR="0064353F">
        <w:t xml:space="preserve"> of </w:t>
      </w:r>
      <w:r w:rsidR="00FC3B8B">
        <w:t>May</w:t>
      </w:r>
      <w:r w:rsidR="009C0869">
        <w:t xml:space="preserve"> 2022</w:t>
      </w:r>
      <w:r w:rsidR="0064353F">
        <w:t>,</w:t>
      </w:r>
      <w:r>
        <w:t xml:space="preserve"> </w:t>
      </w:r>
      <w:r w:rsidR="00124BD3">
        <w:t xml:space="preserve">at the Item level, </w:t>
      </w:r>
      <w:r w:rsidR="00FC3B8B">
        <w:t xml:space="preserve">except </w:t>
      </w:r>
      <w:r w:rsidR="00932126">
        <w:t>manufacture of</w:t>
      </w:r>
      <w:r w:rsidR="00FC3B8B">
        <w:t xml:space="preserve"> stone chips</w:t>
      </w:r>
      <w:r w:rsidR="00932126">
        <w:t xml:space="preserve"> </w:t>
      </w:r>
      <w:r w:rsidR="00FC3B8B">
        <w:t>all other items</w:t>
      </w:r>
      <w:r w:rsidR="00124BD3">
        <w:t xml:space="preserve"> registered a positive growth over the corresponding month of the p</w:t>
      </w:r>
      <w:r w:rsidR="00022E2F">
        <w:t>revious year</w:t>
      </w:r>
      <w:r w:rsidR="004829E7">
        <w:t>.</w:t>
      </w:r>
      <w:r w:rsidR="00433F95">
        <w:t xml:space="preserve"> </w:t>
      </w:r>
    </w:p>
    <w:p w:rsidR="00022E2F" w:rsidRPr="00C56C6A" w:rsidRDefault="00022E2F" w:rsidP="005A2FC4">
      <w:pPr>
        <w:pStyle w:val="NoSpacing"/>
        <w:ind w:left="720"/>
        <w:jc w:val="both"/>
      </w:pPr>
    </w:p>
    <w:p w:rsidR="00D365E2" w:rsidRDefault="00C620F2" w:rsidP="00D365E2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</w:t>
      </w:r>
      <w:r w:rsidR="00D305AF">
        <w:t>the</w:t>
      </w:r>
      <w:r>
        <w:t xml:space="preserve"> estimation of</w:t>
      </w:r>
      <w:r w:rsidR="00D305AF">
        <w:t xml:space="preserve"> Q.E of IIP for the month of</w:t>
      </w:r>
      <w:r w:rsidR="0027365D">
        <w:t xml:space="preserve"> </w:t>
      </w:r>
      <w:r w:rsidR="00823047">
        <w:t>May</w:t>
      </w:r>
      <w:r w:rsidR="009C0869">
        <w:t xml:space="preserve"> 2022</w:t>
      </w:r>
      <w:r w:rsidR="00D305AF">
        <w:t xml:space="preserve">, </w:t>
      </w:r>
      <w:r w:rsidR="00823047">
        <w:t>the production of Coal for the month of April 2022 was revised downward</w:t>
      </w:r>
      <w:r w:rsidR="00D365E2">
        <w:t>.</w:t>
      </w:r>
      <w:r w:rsidR="00D305AF">
        <w:t xml:space="preserve"> </w:t>
      </w:r>
      <w:r w:rsidR="00D365E2">
        <w:t xml:space="preserve">Consequently, the General index of IIP for the month of </w:t>
      </w:r>
      <w:r w:rsidR="00823047">
        <w:t>April</w:t>
      </w:r>
      <w:r w:rsidR="00D365E2">
        <w:t xml:space="preserve"> 2022 </w:t>
      </w:r>
      <w:r w:rsidR="00823047">
        <w:t>was revised to 100.92</w:t>
      </w:r>
      <w:r w:rsidR="00B65BE8">
        <w:t xml:space="preserve"> </w:t>
      </w:r>
      <w:r w:rsidR="00D365E2">
        <w:t>(R.E)</w:t>
      </w:r>
      <w:r w:rsidR="00823047">
        <w:t>.</w:t>
      </w:r>
      <w:r w:rsidR="004829E7">
        <w:t xml:space="preserve"> </w:t>
      </w:r>
      <w:r w:rsidR="00823047">
        <w:t>The IIP for the month of March 2022 remained unchanged at 121.32.</w:t>
      </w:r>
    </w:p>
    <w:p w:rsidR="00823047" w:rsidRDefault="00823047" w:rsidP="00823047">
      <w:pPr>
        <w:pStyle w:val="NoSpacing"/>
        <w:ind w:left="720"/>
        <w:jc w:val="both"/>
      </w:pPr>
    </w:p>
    <w:p w:rsidR="00D305AF" w:rsidRDefault="00433F95" w:rsidP="005A2FC4">
      <w:pPr>
        <w:pStyle w:val="NoSpacing"/>
        <w:numPr>
          <w:ilvl w:val="1"/>
          <w:numId w:val="1"/>
        </w:numPr>
        <w:ind w:hanging="720"/>
        <w:jc w:val="both"/>
      </w:pPr>
      <w:r>
        <w:t>S</w:t>
      </w:r>
      <w:r w:rsidR="00D305AF">
        <w:t xml:space="preserve">ummary of the Indices at different level of National Industrial Classification (NIC-2008) </w:t>
      </w:r>
      <w:r w:rsidR="00C620F2">
        <w:t xml:space="preserve">for the month of </w:t>
      </w:r>
      <w:r w:rsidR="00823047">
        <w:t>May</w:t>
      </w:r>
      <w:r w:rsidR="00D365E2">
        <w:t xml:space="preserve"> 2022</w:t>
      </w:r>
      <w:r w:rsidR="00385AFE">
        <w:t xml:space="preserve"> of the Q.E of IIP at </w:t>
      </w:r>
      <w:proofErr w:type="spellStart"/>
      <w:r w:rsidR="00385AFE">
        <w:t>sectoral</w:t>
      </w:r>
      <w:proofErr w:type="spellEnd"/>
      <w:r w:rsidR="00385AFE">
        <w:t xml:space="preserve"> level</w:t>
      </w:r>
      <w:r w:rsidR="00E701D3">
        <w:t xml:space="preserve"> is</w:t>
      </w:r>
      <w:r w:rsidR="00DA3F90">
        <w:t xml:space="preserve"> presented in</w:t>
      </w:r>
      <w:r w:rsidR="00D305AF">
        <w:t xml:space="preserve"> the </w:t>
      </w:r>
      <w:r w:rsidR="00974751">
        <w:rPr>
          <w:b/>
        </w:rPr>
        <w:t>T</w:t>
      </w:r>
      <w:r w:rsidR="00D305AF" w:rsidRPr="00974751">
        <w:rPr>
          <w:b/>
        </w:rPr>
        <w:t>able</w:t>
      </w:r>
      <w:r w:rsidR="00FD21D5" w:rsidRPr="00974751">
        <w:rPr>
          <w:b/>
        </w:rPr>
        <w:t>-5</w:t>
      </w:r>
      <w:r w:rsidR="00D305AF">
        <w:t>.</w:t>
      </w:r>
    </w:p>
    <w:p w:rsidR="00B30747" w:rsidRDefault="00B30747" w:rsidP="005A2FC4">
      <w:pPr>
        <w:jc w:val="both"/>
      </w:pPr>
    </w:p>
    <w:p w:rsidR="006010FE" w:rsidRDefault="006010FE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64353F" w:rsidRDefault="0064353F" w:rsidP="005A2FC4">
      <w:pPr>
        <w:jc w:val="both"/>
      </w:pPr>
    </w:p>
    <w:p w:rsidR="00D365E2" w:rsidRDefault="00D365E2" w:rsidP="005A2FC4">
      <w:pPr>
        <w:jc w:val="both"/>
      </w:pPr>
    </w:p>
    <w:p w:rsidR="002007A1" w:rsidRDefault="002007A1" w:rsidP="005A2FC4">
      <w:pPr>
        <w:jc w:val="both"/>
      </w:pPr>
    </w:p>
    <w:p w:rsidR="002007A1" w:rsidRDefault="002007A1" w:rsidP="005A2FC4">
      <w:pPr>
        <w:jc w:val="both"/>
      </w:pPr>
    </w:p>
    <w:p w:rsidR="00E701D3" w:rsidRDefault="00E701D3" w:rsidP="005A2FC4">
      <w:pPr>
        <w:jc w:val="both"/>
      </w:pPr>
    </w:p>
    <w:tbl>
      <w:tblPr>
        <w:tblW w:w="6293" w:type="dxa"/>
        <w:tblInd w:w="95" w:type="dxa"/>
        <w:tblLook w:val="04A0"/>
      </w:tblPr>
      <w:tblGrid>
        <w:gridCol w:w="1428"/>
        <w:gridCol w:w="1139"/>
        <w:gridCol w:w="1139"/>
        <w:gridCol w:w="2587"/>
      </w:tblGrid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E701D3" w:rsidRPr="00E701D3" w:rsidTr="004159CF">
        <w:trPr>
          <w:trHeight w:val="634"/>
        </w:trPr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E701D3" w:rsidRPr="00E701D3" w:rsidTr="004159CF">
        <w:trPr>
          <w:trHeight w:val="92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288.0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277.54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-3.63</w:t>
            </w: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313.1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C50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  <w:r w:rsidR="00C507F6">
              <w:rPr>
                <w:rFonts w:ascii="Calibri" w:eastAsia="Times New Roman" w:hAnsi="Calibri" w:cs="Calibri"/>
                <w:color w:val="000000"/>
              </w:rPr>
              <w:t>307.96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C507F6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-1.60</w:t>
            </w: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260.9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250.0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316.1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418.5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271.3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343.0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330.7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300.0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328.9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313.8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4770" w:rsidRDefault="00022E2F" w:rsidP="00D075DE">
      <w:pPr>
        <w:pStyle w:val="NoSpacing"/>
      </w:pPr>
      <w:r>
        <w:t>Directorate of Economics &amp; Statistics</w:t>
      </w:r>
      <w:r w:rsidR="00676ABA">
        <w:t>, Nagaland</w:t>
      </w:r>
    </w:p>
    <w:p w:rsidR="00B65BE8" w:rsidRDefault="00B65BE8" w:rsidP="003D4770">
      <w:pPr>
        <w:pStyle w:val="NoSpacing"/>
      </w:pPr>
    </w:p>
    <w:tbl>
      <w:tblPr>
        <w:tblW w:w="6265" w:type="dxa"/>
        <w:tblInd w:w="95" w:type="dxa"/>
        <w:tblLook w:val="04A0"/>
      </w:tblPr>
      <w:tblGrid>
        <w:gridCol w:w="1480"/>
        <w:gridCol w:w="1115"/>
        <w:gridCol w:w="1115"/>
        <w:gridCol w:w="2555"/>
      </w:tblGrid>
      <w:tr w:rsidR="00E701D3" w:rsidRPr="00E701D3" w:rsidTr="004159CF">
        <w:trPr>
          <w:trHeight w:val="296"/>
        </w:trPr>
        <w:tc>
          <w:tcPr>
            <w:tcW w:w="62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E701D3" w:rsidRPr="00E701D3" w:rsidTr="004159CF">
        <w:trPr>
          <w:trHeight w:val="621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E701D3" w:rsidRPr="00E701D3" w:rsidTr="004159CF">
        <w:trPr>
          <w:trHeight w:val="90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-52.44</w:t>
            </w: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  <w:r w:rsidR="00EC2F31">
              <w:rPr>
                <w:rFonts w:ascii="Calibri" w:eastAsia="Times New Roman" w:hAnsi="Calibri" w:cs="Calibri"/>
                <w:color w:val="000000"/>
              </w:rPr>
              <w:t>72.21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C2F31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371.58</w:t>
            </w: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31.0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91.8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123.8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83.0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40.0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32.8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29.4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20.2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2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16.9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76ABA" w:rsidRDefault="00676ABA" w:rsidP="003D4770">
      <w:pPr>
        <w:pStyle w:val="NoSpacing"/>
      </w:pPr>
      <w:r>
        <w:t>Directorate of Economics &amp; Statistics, Nagaland</w:t>
      </w:r>
    </w:p>
    <w:p w:rsidR="00D305AF" w:rsidRDefault="00D305AF" w:rsidP="005A2FC4">
      <w:pPr>
        <w:jc w:val="both"/>
      </w:pPr>
    </w:p>
    <w:p w:rsidR="00B65BE8" w:rsidRDefault="00B65BE8" w:rsidP="00D075DE">
      <w:pPr>
        <w:pStyle w:val="NoSpacing"/>
      </w:pPr>
    </w:p>
    <w:p w:rsidR="00E701D3" w:rsidRDefault="00E701D3" w:rsidP="00D075DE">
      <w:pPr>
        <w:pStyle w:val="NoSpacing"/>
      </w:pPr>
    </w:p>
    <w:tbl>
      <w:tblPr>
        <w:tblW w:w="6497" w:type="dxa"/>
        <w:tblInd w:w="95" w:type="dxa"/>
        <w:tblLook w:val="04A0"/>
      </w:tblPr>
      <w:tblGrid>
        <w:gridCol w:w="1532"/>
        <w:gridCol w:w="1153"/>
        <w:gridCol w:w="1153"/>
        <w:gridCol w:w="2659"/>
      </w:tblGrid>
      <w:tr w:rsidR="00E701D3" w:rsidRPr="00E701D3" w:rsidTr="004159CF">
        <w:trPr>
          <w:trHeight w:val="302"/>
        </w:trPr>
        <w:tc>
          <w:tcPr>
            <w:tcW w:w="64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E701D3" w:rsidRPr="00E701D3" w:rsidTr="004159CF">
        <w:trPr>
          <w:trHeight w:val="634"/>
        </w:trPr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E701D3" w:rsidRPr="00E701D3" w:rsidTr="004159CF">
        <w:trPr>
          <w:trHeight w:val="921"/>
        </w:trPr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974.7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983.70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561.6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  <w:r w:rsidR="00EC2F31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C2F31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8.54</w:t>
            </w: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796.6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322.9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844.9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920.3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929.4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1044.1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944.5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1116.5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974.7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2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983.7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4770" w:rsidRDefault="00676ABA" w:rsidP="00D075DE">
      <w:pPr>
        <w:pStyle w:val="NoSpacing"/>
      </w:pPr>
      <w:r>
        <w:t>Directorate of Economics &amp; Statistics, Nagaland</w:t>
      </w:r>
    </w:p>
    <w:p w:rsidR="00B65BE8" w:rsidRDefault="00B65BE8" w:rsidP="00D075DE">
      <w:pPr>
        <w:pStyle w:val="NoSpacing"/>
      </w:pPr>
    </w:p>
    <w:tbl>
      <w:tblPr>
        <w:tblW w:w="6453" w:type="dxa"/>
        <w:tblInd w:w="95" w:type="dxa"/>
        <w:tblLook w:val="04A0"/>
      </w:tblPr>
      <w:tblGrid>
        <w:gridCol w:w="1525"/>
        <w:gridCol w:w="1148"/>
        <w:gridCol w:w="1148"/>
        <w:gridCol w:w="2632"/>
      </w:tblGrid>
      <w:tr w:rsidR="00E701D3" w:rsidRPr="00E701D3" w:rsidTr="004159CF">
        <w:trPr>
          <w:trHeight w:val="303"/>
        </w:trPr>
        <w:tc>
          <w:tcPr>
            <w:tcW w:w="6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E701D3" w:rsidRPr="00E701D3" w:rsidTr="004159CF">
        <w:trPr>
          <w:trHeight w:val="636"/>
        </w:trPr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01D3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E701D3" w:rsidRPr="00E701D3" w:rsidTr="004159CF">
        <w:trPr>
          <w:trHeight w:val="924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119.6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108.95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-8.89</w:t>
            </w: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102.0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  <w:r w:rsidR="00EC2F31">
              <w:rPr>
                <w:rFonts w:ascii="Calibri" w:eastAsia="Times New Roman" w:hAnsi="Calibri" w:cs="Calibri"/>
                <w:color w:val="000000"/>
              </w:rPr>
              <w:t>145.29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C2F31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42.47</w:t>
            </w: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112.6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135.3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195.5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190.1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127.1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141.9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132.5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128.1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126.6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01D3" w:rsidRPr="00E701D3" w:rsidTr="004159CF">
        <w:trPr>
          <w:trHeight w:val="30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121.3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01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D3" w:rsidRPr="00E701D3" w:rsidRDefault="00E701D3" w:rsidP="00E701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305AF" w:rsidRDefault="00676ABA" w:rsidP="00D075DE">
      <w:pPr>
        <w:pStyle w:val="NoSpacing"/>
        <w:sectPr w:rsidR="00D305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Directorate of </w:t>
      </w:r>
      <w:r w:rsidR="00B65BE8">
        <w:t>Economics &amp; Statistics, Nagaland</w:t>
      </w:r>
    </w:p>
    <w:p w:rsidR="00E701D3" w:rsidRDefault="00EC2F31" w:rsidP="00EC2F31">
      <w:pPr>
        <w:pStyle w:val="NoSpacing"/>
        <w:ind w:left="5760"/>
        <w:jc w:val="center"/>
      </w:pPr>
      <w:r>
        <w:lastRenderedPageBreak/>
        <w:t>Table-5</w:t>
      </w:r>
    </w:p>
    <w:tbl>
      <w:tblPr>
        <w:tblW w:w="8000" w:type="dxa"/>
        <w:tblInd w:w="95" w:type="dxa"/>
        <w:tblLook w:val="04A0"/>
      </w:tblPr>
      <w:tblGrid>
        <w:gridCol w:w="1346"/>
        <w:gridCol w:w="5143"/>
        <w:gridCol w:w="941"/>
        <w:gridCol w:w="941"/>
      </w:tblGrid>
      <w:tr w:rsidR="00EC2F31" w:rsidRPr="00EC2F31" w:rsidTr="00EC2F31">
        <w:trPr>
          <w:trHeight w:val="375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C2F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SUMMARY OF INDICES AT DIFFERENT LEVEL OF NIC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-2008</w:t>
            </w:r>
          </w:p>
        </w:tc>
      </w:tr>
      <w:tr w:rsidR="00EC2F31" w:rsidRPr="00EC2F31" w:rsidTr="00EC2F31">
        <w:trPr>
          <w:trHeight w:val="60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NPCMS/NIC-code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APRL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2311001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120.07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112.86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2311003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Wheat  flour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120.08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122.99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2316106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Rice raw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9116.81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9734.16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2316203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Rice husked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132.68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135.27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3110002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Timber/wooden planks, sawn/</w:t>
            </w:r>
            <w:proofErr w:type="spellStart"/>
            <w:r w:rsidRPr="00EC2F31">
              <w:rPr>
                <w:rFonts w:ascii="Calibri" w:eastAsia="Times New Roman" w:hAnsi="Calibri" w:cs="Calibri"/>
                <w:color w:val="000000"/>
              </w:rPr>
              <w:t>resawn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3151001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Plywood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156.95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183.48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1532005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Stone chip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29.03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35.61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3732001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Bricks others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EC2F31" w:rsidRPr="00EC2F31" w:rsidTr="00EC2F31">
        <w:trPr>
          <w:trHeight w:val="67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 xml:space="preserve">Manufacture of grain mill </w:t>
            </w:r>
            <w:proofErr w:type="spellStart"/>
            <w:r w:rsidRPr="00EC2F31">
              <w:rPr>
                <w:rFonts w:ascii="Calibri" w:eastAsia="Times New Roman" w:hAnsi="Calibri" w:cs="Calibri"/>
                <w:color w:val="000000"/>
              </w:rPr>
              <w:t>products,starches</w:t>
            </w:r>
            <w:proofErr w:type="spellEnd"/>
            <w:r w:rsidRPr="00EC2F31">
              <w:rPr>
                <w:rFonts w:ascii="Calibri" w:eastAsia="Times New Roman" w:hAnsi="Calibri" w:cs="Calibri"/>
                <w:color w:val="000000"/>
              </w:rPr>
              <w:t xml:space="preserve"> and starches products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2029.85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2160.59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Sawmilling and planning of wood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</w:tr>
      <w:tr w:rsidR="00EC2F31" w:rsidRPr="00EC2F31" w:rsidTr="00EC2F31">
        <w:trPr>
          <w:trHeight w:val="69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Manufacture of product of wood, cork, straw and plaiting materials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156.95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183.48</w:t>
            </w:r>
          </w:p>
        </w:tc>
      </w:tr>
      <w:tr w:rsidR="00EC2F31" w:rsidRPr="00EC2F31" w:rsidTr="00EC2F31">
        <w:trPr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 xml:space="preserve">Manufacture of non-metallic mineral products </w:t>
            </w:r>
            <w:proofErr w:type="spellStart"/>
            <w:r w:rsidRPr="00EC2F31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6.27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7.69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Manufacture of food products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2030.23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2161.00</w:t>
            </w:r>
          </w:p>
        </w:tc>
      </w:tr>
      <w:tr w:rsidR="00EC2F31" w:rsidRPr="00EC2F31" w:rsidTr="00EC2F31">
        <w:trPr>
          <w:trHeight w:val="9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156.83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182.32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Manufacture of other non-metallic mineral products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6.26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7.69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Mfg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Manufacturing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277.21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307.96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72.21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</w:tr>
      <w:tr w:rsidR="00EC2F31" w:rsidRPr="00EC2F31" w:rsidTr="00EC2F3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Gen IIP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General IIP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100.92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31" w:rsidRPr="00EC2F31" w:rsidRDefault="00EC2F31" w:rsidP="00EC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2F31">
              <w:rPr>
                <w:rFonts w:ascii="Calibri" w:eastAsia="Times New Roman" w:hAnsi="Calibri" w:cs="Calibri"/>
                <w:color w:val="000000"/>
              </w:rPr>
              <w:t>145.29</w:t>
            </w:r>
          </w:p>
        </w:tc>
      </w:tr>
    </w:tbl>
    <w:p w:rsidR="00890418" w:rsidRPr="00890418" w:rsidRDefault="004159CF" w:rsidP="005A2FC4">
      <w:pPr>
        <w:jc w:val="both"/>
        <w:rPr>
          <w:rFonts w:ascii="Times New Roman" w:hAnsi="Times New Roman" w:cs="Times New Roman"/>
          <w:sz w:val="24"/>
          <w:szCs w:val="24"/>
        </w:rPr>
      </w:pPr>
      <w:r>
        <w:t>Directorate of Economics &amp; Statistics, Nagaland</w:t>
      </w:r>
    </w:p>
    <w:sectPr w:rsidR="00890418" w:rsidRPr="00890418" w:rsidSect="00B65BE8">
      <w:pgSz w:w="11906" w:h="16838"/>
      <w:pgMar w:top="1135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8370E"/>
    <w:multiLevelType w:val="hybridMultilevel"/>
    <w:tmpl w:val="7D3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305AF"/>
    <w:rsid w:val="00022E2F"/>
    <w:rsid w:val="00031938"/>
    <w:rsid w:val="00084649"/>
    <w:rsid w:val="00084702"/>
    <w:rsid w:val="000E3CA4"/>
    <w:rsid w:val="00124BD3"/>
    <w:rsid w:val="002007A1"/>
    <w:rsid w:val="00235C1F"/>
    <w:rsid w:val="002423D1"/>
    <w:rsid w:val="00250FB1"/>
    <w:rsid w:val="0027365D"/>
    <w:rsid w:val="002869AD"/>
    <w:rsid w:val="00297066"/>
    <w:rsid w:val="002A36B8"/>
    <w:rsid w:val="002D0C79"/>
    <w:rsid w:val="002E5996"/>
    <w:rsid w:val="002F6BA8"/>
    <w:rsid w:val="00337661"/>
    <w:rsid w:val="00352C6A"/>
    <w:rsid w:val="0037214A"/>
    <w:rsid w:val="00375A3F"/>
    <w:rsid w:val="00385AFE"/>
    <w:rsid w:val="003941DC"/>
    <w:rsid w:val="003B5A24"/>
    <w:rsid w:val="003D4770"/>
    <w:rsid w:val="003F1352"/>
    <w:rsid w:val="004043AC"/>
    <w:rsid w:val="004159CF"/>
    <w:rsid w:val="004163F0"/>
    <w:rsid w:val="00433F95"/>
    <w:rsid w:val="00457C08"/>
    <w:rsid w:val="004717AB"/>
    <w:rsid w:val="004829E7"/>
    <w:rsid w:val="00491933"/>
    <w:rsid w:val="004B227A"/>
    <w:rsid w:val="004C03EA"/>
    <w:rsid w:val="004C04B2"/>
    <w:rsid w:val="00503C9D"/>
    <w:rsid w:val="0051108E"/>
    <w:rsid w:val="00522924"/>
    <w:rsid w:val="00553031"/>
    <w:rsid w:val="00560C15"/>
    <w:rsid w:val="005800A6"/>
    <w:rsid w:val="00594774"/>
    <w:rsid w:val="005A2FC4"/>
    <w:rsid w:val="005C561F"/>
    <w:rsid w:val="005D0AE1"/>
    <w:rsid w:val="005F058E"/>
    <w:rsid w:val="005F49AA"/>
    <w:rsid w:val="006010FE"/>
    <w:rsid w:val="00603BC5"/>
    <w:rsid w:val="0064353F"/>
    <w:rsid w:val="00676ABA"/>
    <w:rsid w:val="00694E3A"/>
    <w:rsid w:val="006A37C0"/>
    <w:rsid w:val="006A6408"/>
    <w:rsid w:val="006C0A5F"/>
    <w:rsid w:val="006F7EBE"/>
    <w:rsid w:val="007339B8"/>
    <w:rsid w:val="00762F60"/>
    <w:rsid w:val="00767B84"/>
    <w:rsid w:val="00796A08"/>
    <w:rsid w:val="007B055B"/>
    <w:rsid w:val="007B7EDA"/>
    <w:rsid w:val="00823047"/>
    <w:rsid w:val="0083217C"/>
    <w:rsid w:val="0087077F"/>
    <w:rsid w:val="00875A79"/>
    <w:rsid w:val="00890418"/>
    <w:rsid w:val="008A1C37"/>
    <w:rsid w:val="008B58EB"/>
    <w:rsid w:val="00912E2D"/>
    <w:rsid w:val="00914151"/>
    <w:rsid w:val="00932126"/>
    <w:rsid w:val="00961194"/>
    <w:rsid w:val="00974751"/>
    <w:rsid w:val="009866B6"/>
    <w:rsid w:val="009933B3"/>
    <w:rsid w:val="009A6614"/>
    <w:rsid w:val="009C0869"/>
    <w:rsid w:val="009E330B"/>
    <w:rsid w:val="009F24D7"/>
    <w:rsid w:val="00A028CB"/>
    <w:rsid w:val="00A66483"/>
    <w:rsid w:val="00A66AAA"/>
    <w:rsid w:val="00A870BB"/>
    <w:rsid w:val="00AE5F4B"/>
    <w:rsid w:val="00B30747"/>
    <w:rsid w:val="00B64DC6"/>
    <w:rsid w:val="00B65BE8"/>
    <w:rsid w:val="00B929D7"/>
    <w:rsid w:val="00B96428"/>
    <w:rsid w:val="00C022F1"/>
    <w:rsid w:val="00C321D3"/>
    <w:rsid w:val="00C507F6"/>
    <w:rsid w:val="00C620F2"/>
    <w:rsid w:val="00C81E8E"/>
    <w:rsid w:val="00CA5F91"/>
    <w:rsid w:val="00CF3507"/>
    <w:rsid w:val="00D075DE"/>
    <w:rsid w:val="00D305AF"/>
    <w:rsid w:val="00D365E2"/>
    <w:rsid w:val="00D7265B"/>
    <w:rsid w:val="00DA3F90"/>
    <w:rsid w:val="00DA4170"/>
    <w:rsid w:val="00E20375"/>
    <w:rsid w:val="00E325BD"/>
    <w:rsid w:val="00E701D3"/>
    <w:rsid w:val="00EA662C"/>
    <w:rsid w:val="00EC2F31"/>
    <w:rsid w:val="00EE1FB2"/>
    <w:rsid w:val="00F376B9"/>
    <w:rsid w:val="00F54E71"/>
    <w:rsid w:val="00FC1DC6"/>
    <w:rsid w:val="00FC3B8B"/>
    <w:rsid w:val="00FD21D5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5A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D305AF"/>
    <w:pPr>
      <w:spacing w:after="0" w:line="240" w:lineRule="auto"/>
    </w:pPr>
    <w:rPr>
      <w:rFonts w:ascii="Times New Roman" w:eastAsia="Times New Roman" w:hAnsi="Times New Roman" w:cs="Mangal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305AF"/>
    <w:rPr>
      <w:rFonts w:ascii="Times New Roman" w:eastAsia="Times New Roman" w:hAnsi="Times New Roman" w:cs="Mangal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707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45</cp:revision>
  <cp:lastPrinted>2022-06-27T08:14:00Z</cp:lastPrinted>
  <dcterms:created xsi:type="dcterms:W3CDTF">2021-03-15T08:04:00Z</dcterms:created>
  <dcterms:modified xsi:type="dcterms:W3CDTF">2022-06-27T08:23:00Z</dcterms:modified>
</cp:coreProperties>
</file>